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20"/>
        <w:gridCol w:w="1980"/>
        <w:gridCol w:w="1000"/>
        <w:gridCol w:w="1200"/>
        <w:gridCol w:w="3500"/>
        <w:gridCol w:w="1000"/>
        <w:gridCol w:w="1500"/>
        <w:gridCol w:w="300"/>
        <w:gridCol w:w="100"/>
        <w:gridCol w:w="600"/>
      </w:tblGrid>
      <w:tr>
        <w:trPr>
          <w:trHeight w:hRule="exact" w:val="8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</w:pPr>
            <w:r>
              <w:rPr>
                <w:rFonts w:ascii="Times New Roman" w:hAnsi="Times New Roman" w:eastAsia="Times New Roman" w:cs="Times New Roman"/>
                <w:i w:val="true"/>
              </w:rPr>
              <w:br/>
              <w:t xml:space="preserve">                    Информация из Государственного информационного ресурса бухгалтерской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Дата формирования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Номер выгрузки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0710096_7726190989_2021_001_20250130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Настоящая выгрузка содержит информацию о юридическом лице: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юридического лица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ГАРАЖНО-СТРОИТЕЛЬНЫЙ КООПЕРАТИВ № 25 РАЙОНА ЧЕРТАНОВО СЕВЕРНОЕ ЮАО Г.МОСКВЫ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включенная в Государственный информационный ресурс бухгалтерской (финансовой) отчетности по состоянию на 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Код по ОКПО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43315843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Форма собственности (по ОКФС)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Организационно-правовая форма (по ОКОПФ)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20101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Вид экономической деятельности по ОКВЭД 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52.21.24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 (адрес)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117525, Москва г, ул.Днепропетровская, д.12А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Единица измерения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Тыс. руб.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1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300"/>
        <w:gridCol w:w="600"/>
        <w:gridCol w:w="1000"/>
        <w:gridCol w:w="1000"/>
        <w:gridCol w:w="800"/>
        <w:gridCol w:w="900"/>
        <w:gridCol w:w="400"/>
        <w:gridCol w:w="1200"/>
        <w:gridCol w:w="200"/>
        <w:gridCol w:w="200"/>
        <w:gridCol w:w="100"/>
        <w:gridCol w:w="900"/>
        <w:gridCol w:w="200"/>
        <w:gridCol w:w="400"/>
        <w:gridCol w:w="1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balance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Бухгалтерский баланс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20" w:righ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года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АКТИВ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Материальные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Нематериальные, финансовые и другие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1170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Запасы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363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Денежные средства и денежные эквиваленты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667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Финансовые и другие 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1 353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1600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ПАССИВ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Капитал и резервы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Целевые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Фонд недвижимого и особо ценного движимого имущества и иные целевые фонды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1360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353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Долгосрочные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долгосрочные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Краткосрочные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Кредиторская задолженность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1 254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323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краткосрочные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1700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бухгалтерскому балансу.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Включая основные средства, незавершенные капитальные вложения в основные средства.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 Включая результаты исследований и разработок, незавершенные капитальные вложения в нематериальные.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 Включая дебиторскую задолженность.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 Некоммерческая организация вместо показателей "Капиталы и резервы" включает "Целевые средства", "Фонд недвижимого и особо ценного движимого имущества и иные целевые фонды".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2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500"/>
        <w:gridCol w:w="400"/>
        <w:gridCol w:w="1000"/>
        <w:gridCol w:w="1000"/>
        <w:gridCol w:w="1600"/>
        <w:gridCol w:w="500"/>
        <w:gridCol w:w="500"/>
        <w:gridCol w:w="1100"/>
        <w:gridCol w:w="100"/>
        <w:gridCol w:w="740"/>
        <w:gridCol w:w="16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fin_res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финансовых результатах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Выручка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13 821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13 180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Расходы по обычной деятельности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(12 692)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(12 504)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Проценты по уплате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доходы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расходы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Налоги и прибыль (доходы)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Чистая прибыль (убыток)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отчету о финансовых результатах.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За минусом налога на прибыль.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Включая себестоимость продаж, коммерческие и управленческие расходы.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 Включая текущий налог на прибыль, изменение отложенных налоговых обязательств и активов.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3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100"/>
        <w:gridCol w:w="1500"/>
        <w:gridCol w:w="400"/>
        <w:gridCol w:w="1000"/>
        <w:gridCol w:w="1000"/>
        <w:gridCol w:w="1500"/>
        <w:gridCol w:w="600"/>
        <w:gridCol w:w="400"/>
        <w:gridCol w:w="1200"/>
        <w:gridCol w:w="100"/>
        <w:gridCol w:w="700"/>
        <w:gridCol w:w="20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tfu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целевом использовании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начало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6100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Поступило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13 145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12 884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Взносы и иные целевые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12 469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9 602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Прибыль от приносящей доход деятельности организации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3 282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12 692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12 504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целевые мероприятия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содержание организации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(12 692)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(12 504)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приобретение основных средств и иного имущества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(0)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конец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  <w:t xml:space="preserve"> В случае существенности информации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 (п.9 введен Приказом Минфина России от 06.04.2015 №57н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4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page_footer">
    <w:name w:val="page_footer"/>
    <w:qFormat/>
    <w:pPr>
      <w:ind/>
    </w:pPr>
    <w:rPr>
      <w:rFonts w:ascii="Times New Roman" w:hAnsi="Times New Roman" w:eastAsia="Times New Roman" w:cs="Times New Roman"/>
      <w:color w:val="808080"/>
      <w:sz w:val="20"/>
    </w:rPr>
  </w:style>
  <w:style w:type="paragraph" w:styleId="organization">
    <w:name w:val="organization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balance">
    <w:name w:val="Standart_tabl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balance">
    <w:name w:val="Italic_table_balance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balance">
    <w:name w:val="without_table_balance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balance">
    <w:name w:val="Bold_table_balance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balance">
    <w:name w:val="Bold_without_table_balance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balance">
    <w:name w:val="signatur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fin_res">
    <w:name w:val="Standart_tabl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fin_res">
    <w:name w:val="Italic_table_fin_res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fin_res">
    <w:name w:val="without_table_fin_res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fin_res">
    <w:name w:val="Bold_table_fin_res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fin_res">
    <w:name w:val="Bold_without_table_fin_res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fin_res">
    <w:name w:val="signatur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tfu">
    <w:name w:val="Standart_tabl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tfu">
    <w:name w:val="Italic_table_tfu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tfu">
    <w:name w:val="without_table_tfu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tfu">
    <w:name w:val="Bold_table_tfu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tfu">
    <w:name w:val="Bold_without_table_tfu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tfu">
    <w:name w:val="signatur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