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Default Extension="ttf" ContentType="application/x-font-ttf"/>
  <Default Extension="otf" ContentType="application/x-font-ttf"/>
  <Default Extension="eot" ContentType="application/x-font-tt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00"/>
        <w:gridCol w:w="20"/>
        <w:gridCol w:w="1980"/>
        <w:gridCol w:w="1000"/>
        <w:gridCol w:w="1200"/>
        <w:gridCol w:w="3500"/>
        <w:gridCol w:w="1000"/>
        <w:gridCol w:w="1500"/>
        <w:gridCol w:w="300"/>
        <w:gridCol w:w="100"/>
        <w:gridCol w:w="600"/>
      </w:tblGrid>
      <w:tr>
        <w:trPr>
          <w:trHeight w:hRule="exact" w:val="8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200" w:right="200"/>
              <w:jc w:val="center"/>
            </w:pPr>
            <w:r>
              <w:rPr>
                <w:rFonts w:ascii="Times New Roman" w:hAnsi="Times New Roman" w:eastAsia="Times New Roman" w:cs="Times New Roman"/>
                <w:i w:val="true"/>
              </w:rPr>
              <w:br/>
              <w:t xml:space="preserve">                    Информация из Государственного информационного ресурса бухгалтерской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Дата формирования информации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09.08.2025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Номер выгрузки информации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0710096_7726190989_2024_000_20250809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Настоящая выгрузка содержит информацию о юридическом лице: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Полное наименование юридического лица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ГАРАЖНО-СТРОИТЕЛЬНЫЙ КООПЕРАТИВ № 25 РАЙОНА ЧЕРТАНОВО СЕВЕРНОЕ ЮАО Г.МОСКВЫ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200" w:right="20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  <w:i w:val="true"/>
              </w:rPr>
              <w:t xml:space="preserve">включенная в Государственный информационный ресурс бухгалтерской (финансовой) отчетности по состоянию на 09.08.2025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center"/>
              <w:spacing w:lineRule="auto" w:line="240" w:after="0" w:before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ИНН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7726190989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КПП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772601001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Код по ОКПО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Форма собственности (по ОКФС)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16 Частная собственность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Организационно-правовая форма (по ОКОПФ)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20101 Гаражные и гаражно-строительные кооперативы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Вид экономической деятельности по ОКВЭД 2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52.21.24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Местонахождение (адрес)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117525, Москва г, ул. Днепропетровская, дом 12А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Единица измерения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organization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  <w:u w:val="single"/>
              </w:rPr>
              <w:t xml:space="preserve">Тыс. руб.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Информация из ресурса БФО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ИНН   7726190989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Страница 1 из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 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09.08.2025 16:47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20"/>
        <w:gridCol w:w="80"/>
        <w:gridCol w:w="1300"/>
        <w:gridCol w:w="600"/>
        <w:gridCol w:w="1000"/>
        <w:gridCol w:w="1000"/>
        <w:gridCol w:w="800"/>
        <w:gridCol w:w="900"/>
        <w:gridCol w:w="400"/>
        <w:gridCol w:w="1200"/>
        <w:gridCol w:w="200"/>
        <w:gridCol w:w="200"/>
        <w:gridCol w:w="100"/>
        <w:gridCol w:w="900"/>
        <w:gridCol w:w="200"/>
        <w:gridCol w:w="400"/>
        <w:gridCol w:w="100"/>
        <w:gridCol w:w="800"/>
        <w:gridCol w:w="300"/>
        <w:gridCol w:w="100"/>
        <w:gridCol w:w="500"/>
        <w:gridCol w:w="100"/>
      </w:tblGrid>
      <w:tr>
        <w:trPr>
          <w:trHeight w:hRule="exact" w:val="8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without_table_balance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ИНН   7726190989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without_table_balance"/>
              <w:ind/>
              <w:jc w:val="lef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Форма по КНД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_without_table_balance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0710096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without_table_balance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КПП   772601001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_without_table_balance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Форма по ОКУД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_without_table_balance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0710001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without_table_balance"/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Бухгалтерский баланс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Пояснения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1</w:t>
            </w: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показателя</w:t>
            </w:r>
          </w:p>
        </w:tc>
        <w:tc>
          <w:tcPr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20" w:right="2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Код строки</w:t>
            </w:r>
          </w:p>
        </w:tc>
        <w:tc>
          <w:tcPr>
            <w:gridSpan w:val="2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На 31 декабря 2024 года</w:t>
            </w:r>
          </w:p>
        </w:tc>
        <w:tc>
          <w:tcPr>
            <w:gridSpan w:val="5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На 31 декабря 2023 год</w:t>
            </w: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На 31 декабря 2022 года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  <w:tc>
          <w:tcPr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</w:p>
        </w:tc>
        <w:tc>
          <w:tcPr>
            <w:gridSpan w:val="2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</w:p>
        </w:tc>
        <w:tc>
          <w:tcPr>
            <w:gridSpan w:val="5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balance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balance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АКТИВ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Материальные внеоборотные активы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2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1150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Нематериальные, финансовые и другие внеоборотные активы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3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1170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Запасы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1210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2 156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2 350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2 495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Денежные средства и денежные эквиваленты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1250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670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1 313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577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Финансовые и другие оборотные активы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4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1230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2 035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1 555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574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БАЛАНС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1600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4 861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5 219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3 646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balance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ПАССИВ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Капитал и резервы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5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1300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Целевые средства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1350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4 123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4 605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3 166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Фонд недвижимого и особо ценного движимого имущества и иные целевые фонды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1360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Долгосрочные заемные средства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1410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Другие долгосрочные обязательства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1450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Краткосрочные заемные средства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1510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Кредиторская задолженность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1520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738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614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480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Другие краткосрочные обязательства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1550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left"/>
              <w:spacing w:lineRule="auto" w:line="240" w:after="0" w:before="4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balance"/>
              <w:ind w:left="60" w:right="60"/>
              <w:jc w:val="left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БАЛАНС</w:t>
            </w:r>
          </w:p>
        </w:tc>
        <w:tc>
          <w:tcPr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20" w:right="2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1700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4 861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5 219</w:t>
            </w:r>
          </w:p>
        </w:tc>
        <w:tc>
          <w:tcPr>
            <w:gridSpan w:val="5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balance"/>
              <w:ind w:left="60" w:right="60"/>
              <w:jc w:val="center"/>
              <w:spacing w:lineRule="auto" w:line="240" w:after="0" w:before="20"/>
            </w:pPr>
            <w:r>
              <w:rPr>
                <w:rFonts w:ascii="Times New Roman" w:hAnsi="Times New Roman" w:eastAsia="Times New Roman" w:cs="Times New Roman"/>
              </w:rPr>
              <w:t xml:space="preserve">3 646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without_table_balance"/>
              <w:ind/>
              <w:jc w:val="left"/>
            </w:pP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  <w:t xml:space="preserve"> Указывается номер соответствующего пояснения к бухгалтерскому балансу.</w:t>
              <w:br/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</w:rPr>
              <w:t xml:space="preserve"> Включая основные средства, незавершенные капитальные вложения в основные средства.</w:t>
              <w:br/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</w:rPr>
              <w:t xml:space="preserve"> Включая результаты исследований и разработок, незавершенные капитальные вложения в нематериальные.</w:t>
              <w:br/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</w:rPr>
              <w:t xml:space="preserve"> Включая дебиторскую задолженность.</w:t>
              <w:br/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</w:rPr>
              <w:t xml:space="preserve"> Некоммерческая организация вместо показателей "Капиталы и резервы" включает "Целевые средства", "Фонд недвижимого и особо ценного движимого имущества и иные целевые фонды".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Информация из ресурса БФО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ИНН   7726190989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Страница 2 из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 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09.08.2025 16:47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700"/>
        <w:gridCol w:w="100"/>
        <w:gridCol w:w="1500"/>
        <w:gridCol w:w="400"/>
        <w:gridCol w:w="1000"/>
        <w:gridCol w:w="1000"/>
        <w:gridCol w:w="1500"/>
        <w:gridCol w:w="600"/>
        <w:gridCol w:w="400"/>
        <w:gridCol w:w="1200"/>
        <w:gridCol w:w="100"/>
        <w:gridCol w:w="700"/>
        <w:gridCol w:w="200"/>
        <w:gridCol w:w="700"/>
        <w:gridCol w:w="800"/>
        <w:gridCol w:w="300"/>
        <w:gridCol w:w="100"/>
        <w:gridCol w:w="500"/>
        <w:gridCol w:w="100"/>
      </w:tblGrid>
      <w:tr>
        <w:trPr>
          <w:trHeight w:hRule="exact" w:val="8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without_table_tfu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ИНН   7726190989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_without_table_tfu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Форма по КНД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_without_table_tfu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0710096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without_table_tfu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КПП   772601001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_without_table_tfu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Форма по ОКУД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Bold_without_table_tfu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0710003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without_table_tfu"/>
              <w:ind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Отчет о целевом использовании средств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tfu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Пояснения</w:t>
            </w: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tfu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Наименование показателя</w:t>
            </w:r>
          </w:p>
        </w:tc>
        <w:tc>
          <w:tcPr>
            <w:gridSpan w:val="2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tfu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Код строки</w:t>
            </w:r>
          </w:p>
        </w:tc>
        <w:tc>
          <w:tcPr>
            <w:gridSpan w:val="3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tfu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На 31 декабря 2024 года.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tfu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На 31 декабря 2023 года.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tfu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tfu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tfu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3</w:t>
            </w:r>
          </w:p>
        </w:tc>
        <w:tc>
          <w:tcPr>
            <w:gridSpan w:val="3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tfu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4</w:t>
            </w:r>
          </w:p>
        </w:tc>
        <w:tc>
          <w:tcPr>
            <w:gridSpan w:val="4"/>
            <w:shd w:val="clear" w:color="auto" w:fill="FFFFFF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Italic_table_tfu"/>
              <w:ind w:left="60" w:right="60"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Остаток средств на начало отчетного года</w:t>
            </w: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6100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3 792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3 139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Поступило средств</w:t>
            </w: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6200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7 151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6 902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Взносы и иные целевые поступления</w:t>
            </w: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6220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6 589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6 662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Прибыль от приносящей доход деятельности организации</w:t>
            </w: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6</w:t>
            </w: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6240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562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240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Прочие поступления</w:t>
            </w: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6250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-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Использовано средств</w:t>
            </w: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6300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7 633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6 249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На целевые мероприятия</w:t>
            </w: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6310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(-)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(-)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На содержание организации</w:t>
            </w: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6320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(7 633)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(6 249)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На приобретение основных средств и иного имущества</w:t>
            </w: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6330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(-)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(-)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Прочие</w:t>
            </w: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6350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(-)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Standart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(-)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tfu"/>
              <w:ind w:left="60" w:right="60"/>
              <w:jc w:val="left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Остаток средств на конец отчетного года</w:t>
            </w:r>
          </w:p>
        </w:tc>
        <w:tc>
          <w:tcPr>
            <w:gridSpan w:val="2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6400</w:t>
            </w:r>
          </w:p>
        </w:tc>
        <w:tc>
          <w:tcPr>
            <w:gridSpan w:val="3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3 310</w:t>
            </w:r>
          </w:p>
        </w:tc>
        <w:tc>
          <w:tcPr>
            <w:gridSpan w:val="4"/>
            <w:tcBorders>
              <w:top w:val="dotted" w:sz="1" w:space="0" w:color="000000"/>
              <w:left w:val="dotted" w:sz="1" w:space="0" w:color="000000"/>
              <w:bottom w:val="dotted" w:sz="1" w:space="0" w:color="000000"/>
              <w:right w:val="dotted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Bold_table_tfu"/>
              <w:ind w:left="60" w:right="60"/>
              <w:jc w:val="center"/>
              <w:spacing w:lineRule="auto" w:line="240" w:after="0" w:before="60"/>
            </w:pPr>
            <w:r>
              <w:rPr>
                <w:rFonts w:ascii="Times New Roman" w:hAnsi="Times New Roman" w:eastAsia="Times New Roman" w:cs="Times New Roman"/>
              </w:rPr>
              <w:t xml:space="preserve">3 792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without_table_tfu"/>
              <w:ind/>
              <w:jc w:val="left"/>
            </w:pPr>
            <w:r>
              <w:rPr>
                <w:rFonts w:ascii="Times New Roman" w:hAnsi="Times New Roman" w:eastAsia="Times New Roman" w:cs="Times New Roman"/>
                <w:vertAlign w:val="superscript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</w:rPr>
              <w:t xml:space="preserve"> В случае существенности информации о доходах и расходах организации раскрывается в приложении к бухгалтерскому балансу и отчету о целевом использовании средств применительно к составу показателей отчета о финансовых результатах настоящего приложения (п.9 введен Приказом Минфина России от 06.04.2015 №57н 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Информация из ресурса БФО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center"/>
            </w:pPr>
            <w:r>
              <w:rPr>
                <w:rFonts w:ascii="Times New Roman" w:hAnsi="Times New Roman" w:eastAsia="Times New Roman" w:cs="Times New Roman"/>
              </w:rPr>
              <w:t xml:space="preserve">ИНН   7726190989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Страница 3 из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 3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page_footer"/>
              <w:ind/>
              <w:jc w:val="left"/>
            </w:pPr>
            <w:r>
              <w:rPr>
                <w:rFonts w:ascii="Times New Roman" w:hAnsi="Times New Roman" w:eastAsia="Times New Roman" w:cs="Times New Roman"/>
              </w:rPr>
              <w:t xml:space="preserve">09.08.2025 16:47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page_footer">
    <w:name w:val="page_footer"/>
    <w:qFormat/>
    <w:pPr>
      <w:ind/>
    </w:pPr>
    <w:rPr>
      <w:rFonts w:ascii="Times New Roman" w:hAnsi="Times New Roman" w:eastAsia="Times New Roman" w:cs="Times New Roman"/>
      <w:color w:val="808080"/>
      <w:sz w:val="20"/>
    </w:rPr>
  </w:style>
  <w:style w:type="paragraph" w:styleId="organization">
    <w:name w:val="organization"/>
    <w:qFormat/>
    <w:pPr>
      <w:ind/>
    </w:pPr>
    <w:rPr>
      <w:rFonts w:ascii="Times New Roman" w:hAnsi="Times New Roman" w:eastAsia="Times New Roman" w:cs="Times New Roman"/>
      <w:color w:val="000000"/>
      <w:sz w:val="24"/>
    </w:rPr>
  </w:style>
  <w:style w:type="paragraph" w:styleId="Standart_table_balance">
    <w:name w:val="Standart_table_balance"/>
    <w:qFormat/>
    <w:pPr>
      <w:ind/>
    </w:pPr>
    <w:rPr>
      <w:rFonts w:ascii="Times New Roman" w:hAnsi="Times New Roman" w:eastAsia="Times New Roman" w:cs="Times New Roman"/>
      <w:color w:val="000000"/>
      <w:sz w:val="24"/>
    </w:rPr>
  </w:style>
  <w:style w:type="paragraph" w:styleId="Italic_table_balance">
    <w:name w:val="Italic_table_balance"/>
    <w:qFormat/>
    <w:pPr>
      <w:ind/>
    </w:pPr>
    <w:rPr>
      <w:rFonts w:ascii="Times New Roman" w:hAnsi="Times New Roman" w:eastAsia="Times New Roman" w:cs="Times New Roman"/>
      <w:color w:val="000000"/>
      <w:sz w:val="24"/>
      <w:i w:val="true"/>
    </w:rPr>
  </w:style>
  <w:style w:type="paragraph" w:styleId="without_table_balance">
    <w:name w:val="without_table_balance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Bold_table_balance">
    <w:name w:val="Bold_table_balance"/>
    <w:qFormat/>
    <w:pPr>
      <w:ind/>
    </w:pPr>
    <w:rPr>
      <w:rFonts w:ascii="Times New Roman" w:hAnsi="Times New Roman" w:eastAsia="Times New Roman" w:cs="Times New Roman"/>
      <w:color w:val="000000"/>
      <w:sz w:val="24"/>
      <w:b w:val="true"/>
    </w:rPr>
  </w:style>
  <w:style w:type="paragraph" w:styleId="Bold_without_table_balance">
    <w:name w:val="Bold_without_table_balance"/>
    <w:qFormat/>
    <w:pPr>
      <w:ind/>
    </w:pPr>
    <w:rPr>
      <w:rFonts w:ascii="Times New Roman" w:hAnsi="Times New Roman" w:eastAsia="Times New Roman" w:cs="Times New Roman"/>
      <w:color w:val="000000"/>
      <w:sz w:val="20"/>
      <w:b w:val="true"/>
    </w:rPr>
  </w:style>
  <w:style w:type="paragraph" w:styleId="signature_balance">
    <w:name w:val="signature_balance"/>
    <w:qFormat/>
    <w:pPr>
      <w:ind/>
    </w:pPr>
    <w:rPr>
      <w:rFonts w:ascii="Times New Roman" w:hAnsi="Times New Roman" w:eastAsia="Times New Roman" w:cs="Times New Roman"/>
      <w:color w:val="000000"/>
      <w:sz w:val="24"/>
    </w:rPr>
  </w:style>
  <w:style w:type="paragraph" w:styleId="Standart_table_tfu">
    <w:name w:val="Standart_table_tfu"/>
    <w:qFormat/>
    <w:pPr>
      <w:ind/>
    </w:pPr>
    <w:rPr>
      <w:rFonts w:ascii="Times New Roman" w:hAnsi="Times New Roman" w:eastAsia="Times New Roman" w:cs="Times New Roman"/>
      <w:color w:val="000000"/>
      <w:sz w:val="24"/>
    </w:rPr>
  </w:style>
  <w:style w:type="paragraph" w:styleId="Italic_table_tfu">
    <w:name w:val="Italic_table_tfu"/>
    <w:qFormat/>
    <w:pPr>
      <w:ind/>
    </w:pPr>
    <w:rPr>
      <w:rFonts w:ascii="Times New Roman" w:hAnsi="Times New Roman" w:eastAsia="Times New Roman" w:cs="Times New Roman"/>
      <w:color w:val="000000"/>
      <w:sz w:val="24"/>
      <w:i w:val="true"/>
    </w:rPr>
  </w:style>
  <w:style w:type="paragraph" w:styleId="without_table_tfu">
    <w:name w:val="without_table_tfu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Bold_table_tfu">
    <w:name w:val="Bold_table_tfu"/>
    <w:qFormat/>
    <w:pPr>
      <w:ind/>
    </w:pPr>
    <w:rPr>
      <w:rFonts w:ascii="Times New Roman" w:hAnsi="Times New Roman" w:eastAsia="Times New Roman" w:cs="Times New Roman"/>
      <w:color w:val="000000"/>
      <w:sz w:val="24"/>
      <w:b w:val="true"/>
    </w:rPr>
  </w:style>
  <w:style w:type="paragraph" w:styleId="Bold_without_table_tfu">
    <w:name w:val="Bold_without_table_tfu"/>
    <w:qFormat/>
    <w:pPr>
      <w:ind/>
    </w:pPr>
    <w:rPr>
      <w:rFonts w:ascii="Times New Roman" w:hAnsi="Times New Roman" w:eastAsia="Times New Roman" w:cs="Times New Roman"/>
      <w:color w:val="000000"/>
      <w:sz w:val="20"/>
      <w:b w:val="true"/>
    </w:rPr>
  </w:style>
  <w:style w:type="paragraph" w:styleId="signature_tfu">
    <w:name w:val="signature_tfu"/>
    <w:qFormat/>
    <w:pPr>
      <w:ind/>
    </w:pPr>
    <w:rPr>
      <w:rFonts w:ascii="Times New Roman" w:hAnsi="Times New Roman" w:eastAsia="Times New Roman" w:cs="Times New Roman"/>
      <w:color w:val="000000"/>
      <w:sz w:val="24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rId3" Type="http://schemas.openxmlformats.org/officeDocument/2006/relationships/fontTable" Target="fontTable.xml"/>
</Relationships>

</file>

<file path=word/_rels/fontTable.xml.rels><?xml version="1.0" encoding="UTF-8" standalone="yes"?>
<Relationships xmlns="http://schemas.openxmlformats.org/package/2006/relationships">
</Relationships>

</file>

<file path=docProps/app.xml><?xml version="1.0" encoding="utf-8"?>
<Properties xmlns="http://schemas.openxmlformats.org/officeDocument/2006/extended-properties">
  <Application>JasperReports Library version 6.15.0-dd49bfb94918336b8321d5507193f0169ead4e95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